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F29B0" w14:textId="77777777" w:rsidR="00901267" w:rsidRPr="00901267" w:rsidRDefault="00901267" w:rsidP="00901267">
      <w:pPr>
        <w:rPr>
          <w:i/>
          <w:iCs/>
          <w:lang w:val="pl-PL"/>
        </w:rPr>
      </w:pPr>
      <w:bookmarkStart w:id="0" w:name="_Toc177546873"/>
      <w:r w:rsidRPr="00901267">
        <w:rPr>
          <w:i/>
          <w:iCs/>
          <w:lang w:val="pl-PL"/>
        </w:rPr>
        <w:t>Załącznik Nr 2. Klauzula informacyjna RODO.</w:t>
      </w:r>
      <w:bookmarkEnd w:id="0"/>
    </w:p>
    <w:p w14:paraId="531F1DA7" w14:textId="77777777" w:rsidR="00901267" w:rsidRPr="00901267" w:rsidRDefault="00901267" w:rsidP="00901267">
      <w:pPr>
        <w:rPr>
          <w:b/>
          <w:bCs/>
          <w:i/>
          <w:iCs/>
          <w:lang w:val="pl-PL"/>
        </w:rPr>
      </w:pPr>
      <w:r w:rsidRPr="00901267">
        <w:rPr>
          <w:b/>
          <w:bCs/>
          <w:i/>
          <w:iCs/>
          <w:lang w:val="pl-PL"/>
        </w:rPr>
        <w:t>KLAUZULA INFORMACYJNA W ZWIĄZKU Z PRZETWARZANIEM DANYCH OSOBOWYCH SYGNALISTY ORAZ Z PROWADZENIEM POSTĘPOWANIA WSZCZĘTEGO NA PODSTAWIE ZGŁOSZENIA PRZYPADKU NARUSZENIA PRAWA.</w:t>
      </w:r>
    </w:p>
    <w:p w14:paraId="6BC16BE7" w14:textId="77777777" w:rsidR="00901267" w:rsidRPr="00901267" w:rsidRDefault="00901267" w:rsidP="00901267">
      <w:pPr>
        <w:rPr>
          <w:b/>
          <w:bCs/>
          <w:lang w:val="pl-PL"/>
        </w:rPr>
      </w:pPr>
      <w:r w:rsidRPr="00901267">
        <w:rPr>
          <w:b/>
          <w:bCs/>
          <w:lang w:val="pl-PL"/>
        </w:rPr>
        <w:t>Na podstawie art. 13 Rozporządzenia Parlamentu Europejskiego i Rady (UE) 2016/679 z dnia 27 kwietnia 2016 r w sprawie ochrony osób fizycznych w związku z przetwarzaniem danych osobowych i w sprawie swobodnego przepływu takich danych oraz uchylenia dyrektywy 95/46/WE (RODO), informujemy o przetwarzaniu danych oraz prawach związanych z przetwarzaniem tych danych.</w:t>
      </w:r>
    </w:p>
    <w:p w14:paraId="76556DC2" w14:textId="77777777" w:rsidR="00901267" w:rsidRPr="00901267" w:rsidRDefault="00901267" w:rsidP="00901267">
      <w:pPr>
        <w:rPr>
          <w:lang w:val="pl-PL"/>
        </w:rPr>
      </w:pPr>
    </w:p>
    <w:p w14:paraId="46609A98" w14:textId="77777777" w:rsidR="00901267" w:rsidRPr="00901267" w:rsidRDefault="00901267" w:rsidP="00901267">
      <w:pPr>
        <w:numPr>
          <w:ilvl w:val="0"/>
          <w:numId w:val="1"/>
        </w:numPr>
        <w:rPr>
          <w:iCs/>
          <w:lang w:val="pl-PL"/>
        </w:rPr>
      </w:pPr>
      <w:bookmarkStart w:id="1" w:name="_Hlk176520039"/>
      <w:r w:rsidRPr="00901267">
        <w:rPr>
          <w:iCs/>
          <w:lang w:val="pl-PL"/>
        </w:rPr>
        <w:t xml:space="preserve">Administratorem danych jest </w:t>
      </w:r>
      <w:proofErr w:type="spellStart"/>
      <w:r w:rsidRPr="00901267">
        <w:rPr>
          <w:iCs/>
          <w:lang w:val="pl-PL"/>
        </w:rPr>
        <w:t>Biacomex</w:t>
      </w:r>
      <w:proofErr w:type="spellEnd"/>
      <w:r w:rsidRPr="00901267">
        <w:rPr>
          <w:iCs/>
          <w:lang w:val="pl-PL"/>
        </w:rPr>
        <w:t xml:space="preserve"> S.A. z siedzibą w Białymstoku (15-620) przy ul. </w:t>
      </w:r>
      <w:proofErr w:type="spellStart"/>
      <w:r w:rsidRPr="00901267">
        <w:rPr>
          <w:iCs/>
          <w:lang w:val="pl-PL"/>
        </w:rPr>
        <w:t>Elewatorskiej</w:t>
      </w:r>
      <w:proofErr w:type="spellEnd"/>
      <w:r w:rsidRPr="00901267">
        <w:rPr>
          <w:iCs/>
          <w:lang w:val="pl-PL"/>
        </w:rPr>
        <w:t xml:space="preserve"> 11/1  Aby skontaktować się z nami, wyślij wiadomość pod e-mail: sekretariat@biacomex.pl lub zadzwoń pod numer tel. 85 66 444 50.</w:t>
      </w:r>
    </w:p>
    <w:p w14:paraId="0317A173" w14:textId="77777777" w:rsidR="00901267" w:rsidRPr="00901267" w:rsidRDefault="00901267" w:rsidP="00901267">
      <w:pPr>
        <w:numPr>
          <w:ilvl w:val="0"/>
          <w:numId w:val="1"/>
        </w:numPr>
        <w:rPr>
          <w:iCs/>
          <w:lang w:val="pl-PL"/>
        </w:rPr>
      </w:pPr>
      <w:r w:rsidRPr="00901267">
        <w:rPr>
          <w:lang w:val="pl-PL"/>
        </w:rPr>
        <w:t>Informujemy o wyznaczeniu Inspektora Ochrony Danych. Aby skontaktować się z nim, wyślij wiadomość pod e-mail: rodo@biacomex.pl lub zadzwoń pod numer tel. 729 152 500.</w:t>
      </w:r>
    </w:p>
    <w:p w14:paraId="3C995F4B" w14:textId="77777777" w:rsidR="00901267" w:rsidRPr="00901267" w:rsidRDefault="00901267" w:rsidP="00901267">
      <w:pPr>
        <w:numPr>
          <w:ilvl w:val="0"/>
          <w:numId w:val="1"/>
        </w:numPr>
        <w:rPr>
          <w:iCs/>
          <w:lang w:val="pl-PL"/>
        </w:rPr>
      </w:pPr>
      <w:r w:rsidRPr="00901267">
        <w:rPr>
          <w:iCs/>
          <w:lang w:val="pl-PL"/>
        </w:rPr>
        <w:t>Dane osobowe będą przetwarzane:</w:t>
      </w:r>
    </w:p>
    <w:p w14:paraId="62E981A9" w14:textId="77777777" w:rsidR="00901267" w:rsidRPr="00901267" w:rsidRDefault="00901267" w:rsidP="00901267">
      <w:pPr>
        <w:numPr>
          <w:ilvl w:val="0"/>
          <w:numId w:val="1"/>
        </w:numPr>
        <w:rPr>
          <w:lang w:val="pl-PL"/>
        </w:rPr>
      </w:pPr>
      <w:r w:rsidRPr="00901267">
        <w:rPr>
          <w:iCs/>
          <w:lang w:val="pl-PL"/>
        </w:rPr>
        <w:t>w celach związanych ze zgłaszanymi przypadkami naruszenia prawa, na podstawie obowiązku prawnego ciążącego na Administratorze, zgodnie z art. 6 ust. 1 lit. c RODO.</w:t>
      </w:r>
    </w:p>
    <w:p w14:paraId="332010D4" w14:textId="77777777" w:rsidR="00901267" w:rsidRPr="00901267" w:rsidRDefault="00901267" w:rsidP="00901267">
      <w:pPr>
        <w:numPr>
          <w:ilvl w:val="0"/>
          <w:numId w:val="1"/>
        </w:numPr>
        <w:rPr>
          <w:lang w:val="pl-PL"/>
        </w:rPr>
      </w:pPr>
      <w:r w:rsidRPr="00901267">
        <w:rPr>
          <w:iCs/>
          <w:lang w:val="pl-PL"/>
        </w:rPr>
        <w:t xml:space="preserve">w celu przyjmowania, weryfikowania oraz wyjaśniania zgłoszeń naruszeń prawa, na podstawie prawnie uzasadnionego interesu administratora, zgodnie z art. 6 ust. 1 lit. f RODO. </w:t>
      </w:r>
    </w:p>
    <w:p w14:paraId="70326616" w14:textId="77777777" w:rsidR="00901267" w:rsidRPr="00901267" w:rsidRDefault="00901267" w:rsidP="00901267">
      <w:pPr>
        <w:numPr>
          <w:ilvl w:val="0"/>
          <w:numId w:val="1"/>
        </w:numPr>
        <w:rPr>
          <w:lang w:val="pl-PL"/>
        </w:rPr>
      </w:pPr>
      <w:r w:rsidRPr="00901267">
        <w:rPr>
          <w:lang w:val="pl-PL"/>
        </w:rPr>
        <w:t>art. 9  ust. 2  lit. g)  RODO  w związku  z przepisami  ustawy  o ochronie sygnalistów,  jeżeli takie dane osobowe zawarte są w zgłoszeniu sygnalisty.</w:t>
      </w:r>
    </w:p>
    <w:p w14:paraId="5883485C" w14:textId="77777777" w:rsidR="00901267" w:rsidRPr="00901267" w:rsidRDefault="00901267" w:rsidP="00901267">
      <w:pPr>
        <w:numPr>
          <w:ilvl w:val="0"/>
          <w:numId w:val="1"/>
        </w:numPr>
        <w:rPr>
          <w:lang w:val="pl-PL"/>
        </w:rPr>
      </w:pPr>
      <w:bookmarkStart w:id="2" w:name="_Hlk176520728"/>
      <w:r w:rsidRPr="00901267">
        <w:rPr>
          <w:lang w:val="pl-PL"/>
        </w:rPr>
        <w:t>na podstawie art. 6 ust. 1 lit. a) lub art. 9 ust. 2 lit. a) RODO – w celach wynikających z udzielonej zgody na przetwarzanie danych osobowych, w przypadku ich przetwarzania na tej podstawie.</w:t>
      </w:r>
    </w:p>
    <w:bookmarkEnd w:id="2"/>
    <w:p w14:paraId="3F7BE0B1" w14:textId="77777777" w:rsidR="00901267" w:rsidRPr="00901267" w:rsidRDefault="00901267" w:rsidP="00901267">
      <w:pPr>
        <w:numPr>
          <w:ilvl w:val="0"/>
          <w:numId w:val="1"/>
        </w:numPr>
        <w:rPr>
          <w:lang w:val="pl-PL"/>
        </w:rPr>
      </w:pPr>
      <w:r w:rsidRPr="00901267">
        <w:rPr>
          <w:lang w:val="pl-PL"/>
        </w:rPr>
        <w:t xml:space="preserve">Odbiorcami danych osobowych będą wyłącznie podmioty uprawnione do ich przetwarzania na  podstawie  przepisów  prawa.  Dane  osobowe  będą  udostępnione podmiotom zapewniającym, na podstawie umów zawartych przez administratora, obsługę działalności administratora (np. dostawcy usług informatycznych). Dane osobowe mogą być  udostępnione  podmiotom  </w:t>
      </w:r>
      <w:r w:rsidRPr="00901267">
        <w:rPr>
          <w:lang w:val="pl-PL"/>
        </w:rPr>
        <w:lastRenderedPageBreak/>
        <w:t>zewnętrznym  wspierającym  administratora w zakresie przyjmowania  zgłoszeń  wewnętrznych.  Dane  osobowe  będą  udostępniane  odrębnym administratorom, tj. właściwym  organom, w przypadku  podejmowania  działań następczych.</w:t>
      </w:r>
    </w:p>
    <w:p w14:paraId="0E67B607" w14:textId="77777777" w:rsidR="00901267" w:rsidRPr="00901267" w:rsidRDefault="00901267" w:rsidP="00901267">
      <w:pPr>
        <w:numPr>
          <w:ilvl w:val="0"/>
          <w:numId w:val="1"/>
        </w:numPr>
        <w:rPr>
          <w:iCs/>
          <w:lang w:val="pl-PL"/>
        </w:rPr>
      </w:pPr>
      <w:r w:rsidRPr="00901267">
        <w:rPr>
          <w:iCs/>
          <w:lang w:val="pl-PL"/>
        </w:rPr>
        <w:t>Podanie danych jest dobrowolne, jednakże niezbędne do przyjęcia i rozpatrzenia zgłoszenia.</w:t>
      </w:r>
    </w:p>
    <w:p w14:paraId="3BBEE836" w14:textId="77777777" w:rsidR="00901267" w:rsidRPr="00901267" w:rsidRDefault="00901267" w:rsidP="00901267">
      <w:pPr>
        <w:numPr>
          <w:ilvl w:val="0"/>
          <w:numId w:val="1"/>
        </w:numPr>
        <w:rPr>
          <w:iCs/>
          <w:lang w:val="pl-PL"/>
        </w:rPr>
      </w:pPr>
      <w:r w:rsidRPr="00901267">
        <w:rPr>
          <w:iCs/>
          <w:lang w:val="pl-PL"/>
        </w:rPr>
        <w:t>Dane osobowe będą przetwarzane przez okres 3 lat po zakończeniu roku kalendarzowego, w którym zakończono działania następcze lub po zakończeniu postępowań zainicjowanych tymi działaniami.</w:t>
      </w:r>
    </w:p>
    <w:p w14:paraId="25DF25E7" w14:textId="77777777" w:rsidR="00901267" w:rsidRPr="00901267" w:rsidRDefault="00901267" w:rsidP="00901267">
      <w:pPr>
        <w:numPr>
          <w:ilvl w:val="0"/>
          <w:numId w:val="1"/>
        </w:numPr>
        <w:rPr>
          <w:iCs/>
          <w:lang w:val="pl-PL"/>
        </w:rPr>
      </w:pPr>
      <w:r w:rsidRPr="00901267">
        <w:rPr>
          <w:iCs/>
          <w:lang w:val="pl-PL"/>
        </w:rPr>
        <w:t>Informujemy o przysługującym prawie:</w:t>
      </w:r>
    </w:p>
    <w:p w14:paraId="7CBDD0ED" w14:textId="77777777" w:rsidR="00901267" w:rsidRPr="00901267" w:rsidRDefault="00901267" w:rsidP="00901267">
      <w:pPr>
        <w:numPr>
          <w:ilvl w:val="1"/>
          <w:numId w:val="1"/>
        </w:numPr>
        <w:rPr>
          <w:iCs/>
          <w:lang w:val="pl-PL"/>
        </w:rPr>
      </w:pPr>
      <w:r w:rsidRPr="00901267">
        <w:rPr>
          <w:iCs/>
          <w:lang w:val="pl-PL"/>
        </w:rPr>
        <w:t>dostępu do swoich danych, ich sprostowania, ograniczenia przetwarzania,  a także do usunięcia danych (jeżeli nie będziemy zobowiązani do ich przetwarzania na podstawie obowiązujących przepisów prawa, jeżeli podstawą przetwarzania danych osobowych była zgoda, która została cofnięta, jeżeli podstawą przetwarzania danych osobowych był uzasadniony interes administratora, a wobec tego przetwarzania wniesiony został skuteczny sprzeciw),</w:t>
      </w:r>
    </w:p>
    <w:p w14:paraId="19051547" w14:textId="77777777" w:rsidR="00901267" w:rsidRPr="00901267" w:rsidRDefault="00901267" w:rsidP="00901267">
      <w:pPr>
        <w:numPr>
          <w:ilvl w:val="1"/>
          <w:numId w:val="1"/>
        </w:numPr>
        <w:rPr>
          <w:iCs/>
          <w:lang w:val="pl-PL"/>
        </w:rPr>
      </w:pPr>
      <w:r w:rsidRPr="00901267">
        <w:rPr>
          <w:iCs/>
          <w:lang w:val="pl-PL"/>
        </w:rPr>
        <w:t>do wniesienia skargi do Urzędu Ochrony Danych Osobowych, ul. Stawki 2, 00-193 Warszawa, kancelaria@uodo.gov.pl.</w:t>
      </w:r>
      <w:bookmarkEnd w:id="1"/>
    </w:p>
    <w:p w14:paraId="2002F08B" w14:textId="77777777" w:rsidR="00D07947" w:rsidRPr="00901267" w:rsidRDefault="00D07947">
      <w:pPr>
        <w:rPr>
          <w:lang w:val="pl-PL"/>
        </w:rPr>
      </w:pPr>
    </w:p>
    <w:sectPr w:rsidR="00D07947" w:rsidRPr="00901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30DEF"/>
    <w:multiLevelType w:val="hybridMultilevel"/>
    <w:tmpl w:val="FFFFFFFF"/>
    <w:lvl w:ilvl="0" w:tplc="62908496">
      <w:start w:val="1"/>
      <w:numFmt w:val="bullet"/>
      <w:lvlText w:val=""/>
      <w:lvlJc w:val="left"/>
      <w:pPr>
        <w:tabs>
          <w:tab w:val="num" w:pos="720"/>
        </w:tabs>
        <w:ind w:left="720" w:hanging="360"/>
      </w:pPr>
      <w:rPr>
        <w:rFonts w:ascii="Wingdings 3" w:hAnsi="Wingdings 3" w:hint="default"/>
      </w:rPr>
    </w:lvl>
    <w:lvl w:ilvl="1" w:tplc="1292D054">
      <w:start w:val="1"/>
      <w:numFmt w:val="bullet"/>
      <w:lvlText w:val=""/>
      <w:lvlJc w:val="left"/>
      <w:pPr>
        <w:tabs>
          <w:tab w:val="num" w:pos="1440"/>
        </w:tabs>
        <w:ind w:left="1440" w:hanging="360"/>
      </w:pPr>
      <w:rPr>
        <w:rFonts w:ascii="Wingdings 3" w:hAnsi="Wingdings 3" w:hint="default"/>
      </w:rPr>
    </w:lvl>
    <w:lvl w:ilvl="2" w:tplc="A6AA3C06">
      <w:start w:val="1"/>
      <w:numFmt w:val="bullet"/>
      <w:lvlText w:val=""/>
      <w:lvlJc w:val="left"/>
      <w:pPr>
        <w:tabs>
          <w:tab w:val="num" w:pos="2160"/>
        </w:tabs>
        <w:ind w:left="2160" w:hanging="360"/>
      </w:pPr>
      <w:rPr>
        <w:rFonts w:ascii="Wingdings 3" w:hAnsi="Wingdings 3" w:hint="default"/>
      </w:rPr>
    </w:lvl>
    <w:lvl w:ilvl="3" w:tplc="46B4B9CC">
      <w:start w:val="1"/>
      <w:numFmt w:val="bullet"/>
      <w:lvlText w:val=""/>
      <w:lvlJc w:val="left"/>
      <w:pPr>
        <w:tabs>
          <w:tab w:val="num" w:pos="2880"/>
        </w:tabs>
        <w:ind w:left="2880" w:hanging="360"/>
      </w:pPr>
      <w:rPr>
        <w:rFonts w:ascii="Wingdings 3" w:hAnsi="Wingdings 3" w:hint="default"/>
      </w:rPr>
    </w:lvl>
    <w:lvl w:ilvl="4" w:tplc="6484BC24">
      <w:start w:val="1"/>
      <w:numFmt w:val="bullet"/>
      <w:lvlText w:val=""/>
      <w:lvlJc w:val="left"/>
      <w:pPr>
        <w:tabs>
          <w:tab w:val="num" w:pos="3600"/>
        </w:tabs>
        <w:ind w:left="3600" w:hanging="360"/>
      </w:pPr>
      <w:rPr>
        <w:rFonts w:ascii="Wingdings 3" w:hAnsi="Wingdings 3" w:hint="default"/>
      </w:rPr>
    </w:lvl>
    <w:lvl w:ilvl="5" w:tplc="2B7A6350">
      <w:start w:val="1"/>
      <w:numFmt w:val="bullet"/>
      <w:lvlText w:val=""/>
      <w:lvlJc w:val="left"/>
      <w:pPr>
        <w:tabs>
          <w:tab w:val="num" w:pos="4320"/>
        </w:tabs>
        <w:ind w:left="4320" w:hanging="360"/>
      </w:pPr>
      <w:rPr>
        <w:rFonts w:ascii="Wingdings 3" w:hAnsi="Wingdings 3" w:hint="default"/>
      </w:rPr>
    </w:lvl>
    <w:lvl w:ilvl="6" w:tplc="5B3A2682">
      <w:start w:val="1"/>
      <w:numFmt w:val="bullet"/>
      <w:lvlText w:val=""/>
      <w:lvlJc w:val="left"/>
      <w:pPr>
        <w:tabs>
          <w:tab w:val="num" w:pos="5040"/>
        </w:tabs>
        <w:ind w:left="5040" w:hanging="360"/>
      </w:pPr>
      <w:rPr>
        <w:rFonts w:ascii="Wingdings 3" w:hAnsi="Wingdings 3" w:hint="default"/>
      </w:rPr>
    </w:lvl>
    <w:lvl w:ilvl="7" w:tplc="946A2BA8">
      <w:start w:val="1"/>
      <w:numFmt w:val="bullet"/>
      <w:lvlText w:val=""/>
      <w:lvlJc w:val="left"/>
      <w:pPr>
        <w:tabs>
          <w:tab w:val="num" w:pos="5760"/>
        </w:tabs>
        <w:ind w:left="5760" w:hanging="360"/>
      </w:pPr>
      <w:rPr>
        <w:rFonts w:ascii="Wingdings 3" w:hAnsi="Wingdings 3" w:hint="default"/>
      </w:rPr>
    </w:lvl>
    <w:lvl w:ilvl="8" w:tplc="584EFF52">
      <w:start w:val="1"/>
      <w:numFmt w:val="bullet"/>
      <w:lvlText w:val=""/>
      <w:lvlJc w:val="left"/>
      <w:pPr>
        <w:tabs>
          <w:tab w:val="num" w:pos="6480"/>
        </w:tabs>
        <w:ind w:left="6480" w:hanging="360"/>
      </w:pPr>
      <w:rPr>
        <w:rFonts w:ascii="Wingdings 3" w:hAnsi="Wingdings 3" w:hint="default"/>
      </w:rPr>
    </w:lvl>
  </w:abstractNum>
  <w:num w:numId="1" w16cid:durableId="125509303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67"/>
    <w:rsid w:val="0075147C"/>
    <w:rsid w:val="00901267"/>
    <w:rsid w:val="00D0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E6F2"/>
  <w15:chartTrackingRefBased/>
  <w15:docId w15:val="{2BDB9566-7CC8-4D18-8997-C4453A56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012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012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0126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0126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0126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0126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0126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0126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0126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126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0126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0126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0126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0126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0126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0126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0126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01267"/>
    <w:rPr>
      <w:rFonts w:eastAsiaTheme="majorEastAsia" w:cstheme="majorBidi"/>
      <w:color w:val="272727" w:themeColor="text1" w:themeTint="D8"/>
    </w:rPr>
  </w:style>
  <w:style w:type="paragraph" w:styleId="Tytu">
    <w:name w:val="Title"/>
    <w:basedOn w:val="Normalny"/>
    <w:next w:val="Normalny"/>
    <w:link w:val="TytuZnak"/>
    <w:uiPriority w:val="10"/>
    <w:qFormat/>
    <w:rsid w:val="00901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0126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0126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0126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01267"/>
    <w:pPr>
      <w:spacing w:before="160"/>
      <w:jc w:val="center"/>
    </w:pPr>
    <w:rPr>
      <w:i/>
      <w:iCs/>
      <w:color w:val="404040" w:themeColor="text1" w:themeTint="BF"/>
    </w:rPr>
  </w:style>
  <w:style w:type="character" w:customStyle="1" w:styleId="CytatZnak">
    <w:name w:val="Cytat Znak"/>
    <w:basedOn w:val="Domylnaczcionkaakapitu"/>
    <w:link w:val="Cytat"/>
    <w:uiPriority w:val="29"/>
    <w:rsid w:val="00901267"/>
    <w:rPr>
      <w:i/>
      <w:iCs/>
      <w:color w:val="404040" w:themeColor="text1" w:themeTint="BF"/>
    </w:rPr>
  </w:style>
  <w:style w:type="paragraph" w:styleId="Akapitzlist">
    <w:name w:val="List Paragraph"/>
    <w:basedOn w:val="Normalny"/>
    <w:uiPriority w:val="34"/>
    <w:qFormat/>
    <w:rsid w:val="00901267"/>
    <w:pPr>
      <w:ind w:left="720"/>
      <w:contextualSpacing/>
    </w:pPr>
  </w:style>
  <w:style w:type="character" w:styleId="Wyrnienieintensywne">
    <w:name w:val="Intense Emphasis"/>
    <w:basedOn w:val="Domylnaczcionkaakapitu"/>
    <w:uiPriority w:val="21"/>
    <w:qFormat/>
    <w:rsid w:val="00901267"/>
    <w:rPr>
      <w:i/>
      <w:iCs/>
      <w:color w:val="0F4761" w:themeColor="accent1" w:themeShade="BF"/>
    </w:rPr>
  </w:style>
  <w:style w:type="paragraph" w:styleId="Cytatintensywny">
    <w:name w:val="Intense Quote"/>
    <w:basedOn w:val="Normalny"/>
    <w:next w:val="Normalny"/>
    <w:link w:val="CytatintensywnyZnak"/>
    <w:uiPriority w:val="30"/>
    <w:qFormat/>
    <w:rsid w:val="00901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01267"/>
    <w:rPr>
      <w:i/>
      <w:iCs/>
      <w:color w:val="0F4761" w:themeColor="accent1" w:themeShade="BF"/>
    </w:rPr>
  </w:style>
  <w:style w:type="character" w:styleId="Odwoanieintensywne">
    <w:name w:val="Intense Reference"/>
    <w:basedOn w:val="Domylnaczcionkaakapitu"/>
    <w:uiPriority w:val="32"/>
    <w:qFormat/>
    <w:rsid w:val="009012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4900">
      <w:bodyDiv w:val="1"/>
      <w:marLeft w:val="0"/>
      <w:marRight w:val="0"/>
      <w:marTop w:val="0"/>
      <w:marBottom w:val="0"/>
      <w:divBdr>
        <w:top w:val="none" w:sz="0" w:space="0" w:color="auto"/>
        <w:left w:val="none" w:sz="0" w:space="0" w:color="auto"/>
        <w:bottom w:val="none" w:sz="0" w:space="0" w:color="auto"/>
        <w:right w:val="none" w:sz="0" w:space="0" w:color="auto"/>
      </w:divBdr>
    </w:div>
    <w:div w:id="112546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Orzel (105651)</dc:creator>
  <cp:keywords/>
  <dc:description/>
  <cp:lastModifiedBy>Paweł Orzel (105651)</cp:lastModifiedBy>
  <cp:revision>1</cp:revision>
  <dcterms:created xsi:type="dcterms:W3CDTF">2024-09-24T13:57:00Z</dcterms:created>
  <dcterms:modified xsi:type="dcterms:W3CDTF">2024-09-24T13:58:00Z</dcterms:modified>
</cp:coreProperties>
</file>